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D" w:rsidRDefault="00343F2D" w:rsidP="00343F2D">
      <w:pPr>
        <w:ind w:left="1134" w:hanging="1134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 xml:space="preserve">Sammanställning av </w:t>
      </w:r>
      <w:r w:rsidR="005F0A9E">
        <w:rPr>
          <w:rFonts w:ascii="Franklin Gothic Demi" w:hAnsi="Franklin Gothic Demi"/>
          <w:sz w:val="28"/>
          <w:szCs w:val="28"/>
        </w:rPr>
        <w:t xml:space="preserve">överenskomna </w:t>
      </w:r>
      <w:r>
        <w:rPr>
          <w:rFonts w:ascii="Franklin Gothic Demi" w:hAnsi="Franklin Gothic Demi"/>
          <w:sz w:val="28"/>
          <w:szCs w:val="28"/>
        </w:rPr>
        <w:t>brukarindata för lokalbyggnad</w:t>
      </w:r>
    </w:p>
    <w:p w:rsidR="00FB7FDC" w:rsidRDefault="00FB7FDC" w:rsidP="00FB7FDC">
      <w:pPr>
        <w:ind w:firstLine="0"/>
      </w:pPr>
    </w:p>
    <w:p w:rsidR="00FB7FDC" w:rsidRPr="00590969" w:rsidRDefault="00A95DC2" w:rsidP="00FB7FDC">
      <w:pPr>
        <w:ind w:firstLine="0"/>
      </w:pPr>
      <w:r>
        <w:t>Enligt Boverkets föreskrift BEN, ska för indata för normalt brukande till energiberäkning användas avsedda förhållanden. Denna blankett kan användas för att tydligt redovisa vilka ö</w:t>
      </w:r>
      <w:r w:rsidR="00FB7FDC">
        <w:t>verenskomna projektspecifika</w:t>
      </w:r>
      <w:r w:rsidR="00FB7FDC" w:rsidRPr="00590969">
        <w:t xml:space="preserve"> </w:t>
      </w:r>
      <w:r>
        <w:t>brukar</w:t>
      </w:r>
      <w:r w:rsidR="00FB7FDC" w:rsidRPr="00590969">
        <w:t xml:space="preserve">indata </w:t>
      </w:r>
      <w:r>
        <w:t>som ska</w:t>
      </w:r>
      <w:r w:rsidR="00FB7FDC">
        <w:t xml:space="preserve"> använda</w:t>
      </w:r>
      <w:r>
        <w:t>s</w:t>
      </w:r>
      <w:r w:rsidR="00FB7FDC">
        <w:t>, vilka sedan verifieras emot</w:t>
      </w:r>
      <w:r w:rsidR="00FB7FDC" w:rsidRPr="00590969">
        <w:t>.</w:t>
      </w:r>
    </w:p>
    <w:p w:rsidR="00343F2D" w:rsidRDefault="00343F2D" w:rsidP="00A95DC2"/>
    <w:p w:rsidR="00545240" w:rsidRPr="00343F2D" w:rsidRDefault="00545240" w:rsidP="00545240">
      <w:pPr>
        <w:tabs>
          <w:tab w:val="left" w:pos="1843"/>
        </w:tabs>
        <w:ind w:left="1134" w:hanging="1134"/>
        <w:rPr>
          <w:sz w:val="24"/>
        </w:rPr>
      </w:pPr>
      <w:r>
        <w:rPr>
          <w:rFonts w:ascii="Franklin Gothic Demi" w:hAnsi="Franklin Gothic Demi"/>
          <w:sz w:val="24"/>
        </w:rPr>
        <w:t>Verksamhet</w:t>
      </w:r>
      <w:r w:rsidRPr="00343F2D">
        <w:rPr>
          <w:rFonts w:ascii="Franklin Gothic Demi" w:hAnsi="Franklin Gothic Demi"/>
          <w:sz w:val="24"/>
        </w:rPr>
        <w:t>:</w:t>
      </w:r>
      <w:r>
        <w:rPr>
          <w:rFonts w:ascii="Franklin Gothic Demi" w:hAnsi="Franklin Gothic Demi"/>
          <w:sz w:val="24"/>
        </w:rPr>
        <w:t xml:space="preserve"> </w:t>
      </w:r>
      <w:r>
        <w:rPr>
          <w:rFonts w:ascii="Franklin Gothic Demi" w:hAnsi="Franklin Gothic Demi"/>
          <w:sz w:val="24"/>
        </w:rPr>
        <w:tab/>
      </w:r>
    </w:p>
    <w:p w:rsidR="00343F2D" w:rsidRPr="00343F2D" w:rsidRDefault="00343F2D" w:rsidP="00343F2D">
      <w:pPr>
        <w:tabs>
          <w:tab w:val="left" w:pos="1843"/>
        </w:tabs>
        <w:ind w:left="1134" w:hanging="1134"/>
        <w:rPr>
          <w:sz w:val="24"/>
        </w:rPr>
      </w:pPr>
      <w:r w:rsidRPr="00343F2D">
        <w:rPr>
          <w:rFonts w:ascii="Franklin Gothic Demi" w:hAnsi="Franklin Gothic Demi"/>
          <w:sz w:val="24"/>
        </w:rPr>
        <w:t>Projektnamn:</w:t>
      </w:r>
      <w:r>
        <w:rPr>
          <w:rFonts w:ascii="Franklin Gothic Demi" w:hAnsi="Franklin Gothic Demi"/>
          <w:sz w:val="24"/>
        </w:rPr>
        <w:t xml:space="preserve"> </w:t>
      </w:r>
      <w:r>
        <w:rPr>
          <w:rFonts w:ascii="Franklin Gothic Demi" w:hAnsi="Franklin Gothic Demi"/>
          <w:sz w:val="24"/>
        </w:rPr>
        <w:tab/>
      </w:r>
    </w:p>
    <w:p w:rsidR="00343F2D" w:rsidRPr="00A95DC2" w:rsidRDefault="00343F2D" w:rsidP="00343F2D">
      <w:pPr>
        <w:ind w:left="1134" w:hanging="1134"/>
      </w:pPr>
    </w:p>
    <w:p w:rsidR="00A95DC2" w:rsidRPr="00A95DC2" w:rsidRDefault="001101C6" w:rsidP="001101C6">
      <w:pPr>
        <w:ind w:firstLine="0"/>
      </w:pPr>
      <w:r>
        <w:t>Byggnaden indelas i relevanta verksamhetsområden, vilka benämns i tabellhuvudet och ersätter de förifyllda rubrikerna. Kolumner kan läggas till eller dras ifrån. Indata fylls i för resp. verksamhetsområde. Värdet på tappvarmvatten är förifyllt enligt BEN.</w:t>
      </w:r>
    </w:p>
    <w:p w:rsidR="00A95DC2" w:rsidRPr="00A95DC2" w:rsidRDefault="00A95DC2" w:rsidP="00343F2D">
      <w:pPr>
        <w:ind w:left="1134" w:hanging="1134"/>
      </w:pPr>
    </w:p>
    <w:p w:rsidR="00343F2D" w:rsidRPr="00A95DC2" w:rsidRDefault="00343F2D" w:rsidP="00343F2D">
      <w:pPr>
        <w:ind w:left="1134" w:hanging="1134"/>
      </w:pPr>
    </w:p>
    <w:p w:rsidR="00343F2D" w:rsidRPr="00590969" w:rsidRDefault="001101C6" w:rsidP="00FB7FDC">
      <w:pPr>
        <w:ind w:firstLine="0"/>
      </w:pPr>
      <w:r>
        <w:t>Brukari</w:t>
      </w:r>
      <w:r w:rsidR="00343F2D" w:rsidRPr="00590969">
        <w:t xml:space="preserve">ndatasammanställning för olika </w:t>
      </w:r>
      <w:r>
        <w:t xml:space="preserve">verksamhetsområden </w:t>
      </w:r>
      <w:r w:rsidR="00A95DC2">
        <w:t>i</w:t>
      </w:r>
      <w:r w:rsidR="00343F2D" w:rsidRPr="00590969">
        <w:t xml:space="preserve"> </w:t>
      </w:r>
      <w:r w:rsidR="00343F2D">
        <w:t>byggnade</w:t>
      </w:r>
      <w:r w:rsidR="00A95DC2">
        <w:t>n</w:t>
      </w:r>
      <w:r w:rsidR="00343F2D">
        <w:t xml:space="preserve"> </w:t>
      </w:r>
      <w:r w:rsidR="00A95DC2">
        <w:t>redo</w:t>
      </w:r>
      <w:r w:rsidR="00343F2D" w:rsidRPr="00590969">
        <w:t xml:space="preserve">visas i </w:t>
      </w:r>
      <w:r w:rsidR="00A95DC2">
        <w:t>nedanstående tabell.</w:t>
      </w:r>
    </w:p>
    <w:tbl>
      <w:tblPr>
        <w:tblW w:w="82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2288"/>
        <w:gridCol w:w="1418"/>
        <w:gridCol w:w="1417"/>
        <w:gridCol w:w="1143"/>
      </w:tblGrid>
      <w:tr w:rsidR="00343F2D" w:rsidRPr="00590969" w:rsidTr="004B71C6">
        <w:trPr>
          <w:trHeight w:val="794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343F2D" w:rsidRPr="002864FC" w:rsidRDefault="00343F2D" w:rsidP="004F4285">
            <w:pPr>
              <w:ind w:firstLine="0"/>
              <w:rPr>
                <w:rFonts w:ascii="Franklin Gothic Demi" w:hAnsi="Franklin Gothic Demi"/>
              </w:rPr>
            </w:pPr>
          </w:p>
        </w:tc>
        <w:tc>
          <w:tcPr>
            <w:tcW w:w="1418" w:type="dxa"/>
            <w:shd w:val="clear" w:color="auto" w:fill="auto"/>
          </w:tcPr>
          <w:p w:rsidR="00343F2D" w:rsidRPr="002864FC" w:rsidRDefault="004B71C6" w:rsidP="004F4285">
            <w:pPr>
              <w:ind w:firstLine="0"/>
              <w:rPr>
                <w:rFonts w:ascii="Franklin Gothic Demi" w:hAnsi="Franklin Gothic Demi"/>
              </w:rPr>
            </w:pPr>
            <w:proofErr w:type="spellStart"/>
            <w:r>
              <w:rPr>
                <w:rFonts w:ascii="Franklin Gothic Demi" w:hAnsi="Franklin Gothic Demi"/>
              </w:rPr>
              <w:t>Verksamhets</w:t>
            </w:r>
            <w:r w:rsidR="00A95DC2">
              <w:rPr>
                <w:rFonts w:ascii="Franklin Gothic Demi" w:hAnsi="Franklin Gothic Demi"/>
              </w:rPr>
              <w:t>-</w:t>
            </w:r>
            <w:r>
              <w:rPr>
                <w:rFonts w:ascii="Franklin Gothic Demi" w:hAnsi="Franklin Gothic Demi"/>
              </w:rPr>
              <w:t>area</w:t>
            </w:r>
            <w:proofErr w:type="spellEnd"/>
            <w:r>
              <w:rPr>
                <w:rFonts w:ascii="Franklin Gothic Demi" w:hAnsi="Franklin Gothic Demi"/>
              </w:rPr>
              <w:t xml:space="preserve"> A</w:t>
            </w:r>
          </w:p>
        </w:tc>
        <w:tc>
          <w:tcPr>
            <w:tcW w:w="1417" w:type="dxa"/>
            <w:shd w:val="clear" w:color="auto" w:fill="auto"/>
          </w:tcPr>
          <w:p w:rsidR="00343F2D" w:rsidRPr="002864FC" w:rsidRDefault="004B71C6" w:rsidP="004F4285">
            <w:pPr>
              <w:ind w:firstLine="0"/>
              <w:rPr>
                <w:rFonts w:ascii="Franklin Gothic Demi" w:hAnsi="Franklin Gothic Demi"/>
              </w:rPr>
            </w:pPr>
            <w:proofErr w:type="spellStart"/>
            <w:r>
              <w:rPr>
                <w:rFonts w:ascii="Franklin Gothic Demi" w:hAnsi="Franklin Gothic Demi"/>
              </w:rPr>
              <w:t>Verksamhets</w:t>
            </w:r>
            <w:r w:rsidR="00A95DC2">
              <w:rPr>
                <w:rFonts w:ascii="Franklin Gothic Demi" w:hAnsi="Franklin Gothic Demi"/>
              </w:rPr>
              <w:t>-</w:t>
            </w:r>
            <w:r>
              <w:rPr>
                <w:rFonts w:ascii="Franklin Gothic Demi" w:hAnsi="Franklin Gothic Demi"/>
              </w:rPr>
              <w:t>area</w:t>
            </w:r>
            <w:proofErr w:type="spellEnd"/>
            <w:r>
              <w:rPr>
                <w:rFonts w:ascii="Franklin Gothic Demi" w:hAnsi="Franklin Gothic Demi"/>
              </w:rPr>
              <w:t xml:space="preserve"> B</w:t>
            </w:r>
          </w:p>
        </w:tc>
        <w:tc>
          <w:tcPr>
            <w:tcW w:w="1143" w:type="dxa"/>
            <w:shd w:val="clear" w:color="auto" w:fill="auto"/>
          </w:tcPr>
          <w:p w:rsidR="00343F2D" w:rsidRPr="002864FC" w:rsidRDefault="00343F2D" w:rsidP="004F4285">
            <w:pPr>
              <w:ind w:firstLine="0"/>
              <w:rPr>
                <w:rFonts w:ascii="Franklin Gothic Demi" w:hAnsi="Franklin Gothic Demi"/>
              </w:rPr>
            </w:pPr>
            <w:proofErr w:type="spellStart"/>
            <w:r w:rsidRPr="002864FC">
              <w:rPr>
                <w:rFonts w:ascii="Franklin Gothic Demi" w:hAnsi="Franklin Gothic Demi"/>
              </w:rPr>
              <w:t>Övr</w:t>
            </w:r>
            <w:proofErr w:type="spellEnd"/>
            <w:r w:rsidRPr="002864FC">
              <w:rPr>
                <w:rFonts w:ascii="Franklin Gothic Demi" w:hAnsi="Franklin Gothic Demi"/>
              </w:rPr>
              <w:t>, teknik, förråd mm</w:t>
            </w:r>
            <w:r>
              <w:rPr>
                <w:rFonts w:ascii="Franklin Gothic Demi" w:hAnsi="Franklin Gothic Demi"/>
              </w:rPr>
              <w:t>.</w:t>
            </w:r>
          </w:p>
        </w:tc>
      </w:tr>
      <w:tr w:rsidR="00343F2D" w:rsidRPr="00590969" w:rsidTr="004B71C6">
        <w:trPr>
          <w:trHeight w:val="347"/>
        </w:trPr>
        <w:tc>
          <w:tcPr>
            <w:tcW w:w="1964" w:type="dxa"/>
            <w:vMerge w:val="restart"/>
            <w:shd w:val="clear" w:color="auto" w:fill="auto"/>
          </w:tcPr>
          <w:p w:rsidR="00343F2D" w:rsidRPr="00590969" w:rsidRDefault="00343F2D" w:rsidP="00FB7FDC">
            <w:pPr>
              <w:ind w:firstLine="0"/>
            </w:pPr>
            <w:r w:rsidRPr="00590969">
              <w:t>Rumstemperatur, börvärde</w:t>
            </w:r>
            <w:r w:rsidRPr="00590969">
              <w:br/>
              <w:t>Inom/utanför drifttid</w:t>
            </w:r>
            <w:r w:rsidRPr="00590969">
              <w:br/>
            </w: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Lägsta lufttemperatur (°C)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390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Timmar/dygn/veckor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284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Högsta lufttemperatur (°C)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100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Timmar/dygn/veckor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  <w:r w:rsidRPr="00590969">
              <w:t>/</w:t>
            </w:r>
            <w:r>
              <w:t xml:space="preserve"> </w:t>
            </w:r>
            <w:r w:rsidRPr="00590969">
              <w:t>/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  <w:r w:rsidRPr="00590969">
              <w:t>/</w:t>
            </w:r>
            <w:r>
              <w:t xml:space="preserve"> </w:t>
            </w:r>
            <w:r w:rsidRPr="00590969">
              <w:t>/</w:t>
            </w: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377"/>
        </w:trPr>
        <w:tc>
          <w:tcPr>
            <w:tcW w:w="1964" w:type="dxa"/>
            <w:vMerge w:val="restart"/>
            <w:shd w:val="clear" w:color="auto" w:fill="auto"/>
          </w:tcPr>
          <w:p w:rsidR="00343F2D" w:rsidRPr="00590969" w:rsidRDefault="00343F2D" w:rsidP="00FB7FDC">
            <w:pPr>
              <w:ind w:firstLine="0"/>
              <w:rPr>
                <w:b/>
              </w:rPr>
            </w:pPr>
            <w:r w:rsidRPr="00590969">
              <w:t xml:space="preserve">Luftflöden </w:t>
            </w:r>
            <w:r w:rsidRPr="00590969">
              <w:br/>
            </w: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Grund/</w:t>
            </w:r>
            <w:proofErr w:type="spellStart"/>
            <w:r w:rsidRPr="00590969">
              <w:t>forc</w:t>
            </w:r>
            <w:proofErr w:type="spellEnd"/>
            <w:r w:rsidRPr="00590969">
              <w:t>. (l/sm</w:t>
            </w:r>
            <w:r w:rsidRPr="00590969">
              <w:rPr>
                <w:vertAlign w:val="superscript"/>
              </w:rPr>
              <w:t>2</w:t>
            </w:r>
            <w:r w:rsidRPr="00590969">
              <w:t>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  <w:r w:rsidR="00343F2D" w:rsidRPr="00590969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425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(h/d/v)/</w:t>
            </w:r>
            <w:r>
              <w:t>(</w:t>
            </w:r>
            <w:r w:rsidRPr="00590969">
              <w:t>h/d/v)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</w:tr>
      <w:tr w:rsidR="00343F2D" w:rsidRPr="00590969" w:rsidTr="004B71C6">
        <w:trPr>
          <w:trHeight w:val="519"/>
        </w:trPr>
        <w:tc>
          <w:tcPr>
            <w:tcW w:w="1964" w:type="dxa"/>
            <w:shd w:val="clear" w:color="auto" w:fill="auto"/>
          </w:tcPr>
          <w:p w:rsidR="00343F2D" w:rsidRPr="00590969" w:rsidRDefault="00343F2D" w:rsidP="00FB7FDC">
            <w:pPr>
              <w:ind w:firstLine="0"/>
              <w:rPr>
                <w:b/>
              </w:rPr>
            </w:pPr>
            <w:r w:rsidRPr="00590969">
              <w:t>Solavskärmning</w:t>
            </w:r>
            <w:r w:rsidRPr="00590969">
              <w:br/>
            </w: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Beteendestyrd avskärmning, g-värde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</w:p>
        </w:tc>
        <w:tc>
          <w:tcPr>
            <w:tcW w:w="1417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</w:p>
        </w:tc>
        <w:tc>
          <w:tcPr>
            <w:tcW w:w="1143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</w:p>
        </w:tc>
      </w:tr>
      <w:tr w:rsidR="00343F2D" w:rsidRPr="00590969" w:rsidTr="004B71C6">
        <w:trPr>
          <w:trHeight w:val="750"/>
        </w:trPr>
        <w:tc>
          <w:tcPr>
            <w:tcW w:w="1964" w:type="dxa"/>
            <w:shd w:val="clear" w:color="auto" w:fill="auto"/>
          </w:tcPr>
          <w:p w:rsidR="00343F2D" w:rsidRPr="00590969" w:rsidRDefault="00343F2D" w:rsidP="00FB7FDC">
            <w:pPr>
              <w:ind w:firstLine="0"/>
              <w:rPr>
                <w:b/>
              </w:rPr>
            </w:pPr>
            <w:r w:rsidRPr="00590969">
              <w:t>Tappvarmvatten-användning exkl</w:t>
            </w:r>
            <w:r>
              <w:t>.</w:t>
            </w:r>
            <w:r w:rsidR="00FB7FDC">
              <w:t xml:space="preserve"> </w:t>
            </w:r>
            <w:proofErr w:type="spellStart"/>
            <w:r w:rsidR="00FB7FDC">
              <w:t>vvc</w:t>
            </w:r>
            <w:proofErr w:type="spellEnd"/>
            <w:r w:rsidR="00FB7FDC">
              <w:t>-förluster</w:t>
            </w: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(kWh/m</w:t>
            </w:r>
            <w:r w:rsidRPr="00590969">
              <w:rPr>
                <w:vertAlign w:val="superscript"/>
              </w:rPr>
              <w:t>2</w:t>
            </w:r>
            <w:r w:rsidRPr="00590969">
              <w:t>,år)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2,0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2,0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2,0</w:t>
            </w:r>
          </w:p>
        </w:tc>
      </w:tr>
      <w:tr w:rsidR="00343F2D" w:rsidRPr="00590969" w:rsidTr="004B71C6">
        <w:trPr>
          <w:trHeight w:val="227"/>
        </w:trPr>
        <w:tc>
          <w:tcPr>
            <w:tcW w:w="1964" w:type="dxa"/>
            <w:vMerge w:val="restart"/>
            <w:shd w:val="clear" w:color="auto" w:fill="auto"/>
          </w:tcPr>
          <w:p w:rsidR="00343F2D" w:rsidRPr="00590969" w:rsidRDefault="00343F2D" w:rsidP="00FB7FDC">
            <w:pPr>
              <w:ind w:firstLine="0"/>
              <w:rPr>
                <w:b/>
              </w:rPr>
            </w:pPr>
            <w:r w:rsidRPr="00590969">
              <w:t>Verksamhetsel in</w:t>
            </w:r>
            <w:r w:rsidR="00FB7FDC">
              <w:t>ternlast</w:t>
            </w: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(kWh/m</w:t>
            </w:r>
            <w:r w:rsidRPr="00590969">
              <w:rPr>
                <w:vertAlign w:val="superscript"/>
              </w:rPr>
              <w:t>2</w:t>
            </w:r>
            <w:r w:rsidRPr="00590969">
              <w:t>,år)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</w:p>
        </w:tc>
        <w:tc>
          <w:tcPr>
            <w:tcW w:w="1417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100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Belysning (W/m</w:t>
            </w:r>
            <w:r w:rsidRPr="00590969">
              <w:rPr>
                <w:vertAlign w:val="superscript"/>
              </w:rPr>
              <w:t>2</w:t>
            </w:r>
            <w:r w:rsidRPr="00590969">
              <w:t>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</w:p>
        </w:tc>
        <w:tc>
          <w:tcPr>
            <w:tcW w:w="1417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100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(Timmar/dygn/veckor)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100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Utrustning (W/m</w:t>
            </w:r>
            <w:r w:rsidRPr="00590969">
              <w:rPr>
                <w:vertAlign w:val="superscript"/>
              </w:rPr>
              <w:t>2</w:t>
            </w:r>
            <w:r w:rsidRPr="00590969">
              <w:t>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294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(Timmar/dygn/veckor)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215"/>
        </w:trPr>
        <w:tc>
          <w:tcPr>
            <w:tcW w:w="1964" w:type="dxa"/>
            <w:vMerge w:val="restart"/>
            <w:shd w:val="clear" w:color="auto" w:fill="auto"/>
          </w:tcPr>
          <w:p w:rsidR="00343F2D" w:rsidRPr="00590969" w:rsidRDefault="00343F2D" w:rsidP="00FB7FDC">
            <w:pPr>
              <w:ind w:firstLine="0"/>
              <w:rPr>
                <w:b/>
              </w:rPr>
            </w:pPr>
            <w:r w:rsidRPr="00590969">
              <w:t>Personvärme</w:t>
            </w:r>
            <w:r w:rsidRPr="00590969">
              <w:br/>
            </w: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Persontäthet (p/m</w:t>
            </w:r>
            <w:r w:rsidRPr="00590969">
              <w:rPr>
                <w:vertAlign w:val="superscript"/>
              </w:rPr>
              <w:t>2</w:t>
            </w:r>
            <w:r w:rsidRPr="00590969">
              <w:t>)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4B71C6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B71C6">
        <w:trPr>
          <w:trHeight w:val="237"/>
        </w:trPr>
        <w:tc>
          <w:tcPr>
            <w:tcW w:w="1964" w:type="dxa"/>
            <w:vMerge/>
            <w:shd w:val="clear" w:color="auto" w:fill="auto"/>
          </w:tcPr>
          <w:p w:rsidR="00343F2D" w:rsidRPr="00590969" w:rsidRDefault="00343F2D" w:rsidP="004F4285">
            <w:pPr>
              <w:ind w:firstLine="0"/>
            </w:pP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Timmar/dygn/veckor</w:t>
            </w:r>
          </w:p>
        </w:tc>
        <w:tc>
          <w:tcPr>
            <w:tcW w:w="1418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F2D" w:rsidRPr="00590969" w:rsidRDefault="004B71C6" w:rsidP="004B71C6">
            <w:pPr>
              <w:ind w:firstLine="0"/>
            </w:pP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  <w:r w:rsidR="00343F2D" w:rsidRPr="00590969">
              <w:t>/</w:t>
            </w:r>
            <w:r>
              <w:t xml:space="preserve"> </w:t>
            </w:r>
          </w:p>
        </w:tc>
        <w:tc>
          <w:tcPr>
            <w:tcW w:w="1143" w:type="dxa"/>
            <w:shd w:val="clear" w:color="auto" w:fill="auto"/>
          </w:tcPr>
          <w:p w:rsidR="00343F2D" w:rsidRPr="00590969" w:rsidRDefault="00FB7FDC" w:rsidP="004F4285">
            <w:pPr>
              <w:ind w:firstLine="0"/>
            </w:pPr>
            <w:r>
              <w:t xml:space="preserve"> </w:t>
            </w:r>
          </w:p>
        </w:tc>
      </w:tr>
      <w:tr w:rsidR="00343F2D" w:rsidRPr="00590969" w:rsidTr="004F4285">
        <w:trPr>
          <w:trHeight w:val="405"/>
        </w:trPr>
        <w:tc>
          <w:tcPr>
            <w:tcW w:w="1964" w:type="dxa"/>
            <w:shd w:val="clear" w:color="auto" w:fill="auto"/>
          </w:tcPr>
          <w:p w:rsidR="00343F2D" w:rsidRPr="00590969" w:rsidRDefault="00343F2D" w:rsidP="00FB7FDC">
            <w:pPr>
              <w:ind w:firstLine="0"/>
            </w:pPr>
            <w:r w:rsidRPr="00590969">
              <w:t>Vädringspåslag</w:t>
            </w:r>
            <w:r w:rsidRPr="00590969">
              <w:br/>
            </w:r>
          </w:p>
        </w:tc>
        <w:tc>
          <w:tcPr>
            <w:tcW w:w="2288" w:type="dxa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(kWh/m</w:t>
            </w:r>
            <w:r w:rsidRPr="00590969">
              <w:rPr>
                <w:vertAlign w:val="superscript"/>
              </w:rPr>
              <w:t>2</w:t>
            </w:r>
            <w:r w:rsidRPr="00590969">
              <w:t>år)</w:t>
            </w:r>
          </w:p>
        </w:tc>
        <w:tc>
          <w:tcPr>
            <w:tcW w:w="3978" w:type="dxa"/>
            <w:gridSpan w:val="3"/>
            <w:shd w:val="clear" w:color="auto" w:fill="auto"/>
          </w:tcPr>
          <w:p w:rsidR="00343F2D" w:rsidRPr="00590969" w:rsidRDefault="00343F2D" w:rsidP="004F4285">
            <w:pPr>
              <w:ind w:firstLine="0"/>
            </w:pPr>
            <w:r w:rsidRPr="00590969">
              <w:t>4,0</w:t>
            </w:r>
            <w:r w:rsidR="00FB7FDC">
              <w:t>/</w:t>
            </w:r>
            <w:proofErr w:type="spellStart"/>
            <w:r w:rsidR="001101C6">
              <w:t>η</w:t>
            </w:r>
            <w:r w:rsidR="001101C6" w:rsidRPr="001101C6">
              <w:rPr>
                <w:vertAlign w:val="subscript"/>
              </w:rPr>
              <w:t>uppv</w:t>
            </w:r>
            <w:proofErr w:type="spellEnd"/>
            <w:r w:rsidRPr="00590969">
              <w:t xml:space="preserve"> (adderas till beräknad energiprestanda)</w:t>
            </w:r>
          </w:p>
        </w:tc>
      </w:tr>
    </w:tbl>
    <w:p w:rsidR="00545240" w:rsidRDefault="00545240" w:rsidP="00FB7FDC">
      <w:pPr>
        <w:ind w:firstLine="0"/>
        <w:rPr>
          <w:rFonts w:ascii="Franklin Gothic Demi" w:hAnsi="Franklin Gothic Demi"/>
        </w:rPr>
      </w:pPr>
    </w:p>
    <w:p w:rsidR="00FB7FDC" w:rsidRPr="00A95DC2" w:rsidRDefault="00A95DC2" w:rsidP="00FB7FDC">
      <w:pPr>
        <w:ind w:firstLine="0"/>
        <w:rPr>
          <w:rFonts w:ascii="Franklin Gothic Demi" w:hAnsi="Franklin Gothic Demi"/>
        </w:rPr>
      </w:pPr>
      <w:r w:rsidRPr="00A95DC2">
        <w:rPr>
          <w:rFonts w:ascii="Franklin Gothic Demi" w:hAnsi="Franklin Gothic Demi"/>
        </w:rPr>
        <w:t>Anm.</w:t>
      </w:r>
    </w:p>
    <w:p w:rsidR="00FB7FDC" w:rsidRPr="00590969" w:rsidRDefault="00FB7FDC" w:rsidP="00FB7FDC">
      <w:pPr>
        <w:ind w:firstLine="0"/>
      </w:pPr>
      <w:r>
        <w:t>V</w:t>
      </w:r>
      <w:r w:rsidRPr="00590969">
        <w:t xml:space="preserve">erksamhetsel </w:t>
      </w:r>
      <w:r>
        <w:t xml:space="preserve">redovisas </w:t>
      </w:r>
      <w:r w:rsidRPr="00590969">
        <w:t>både som årsmedelvärde</w:t>
      </w:r>
      <w:r>
        <w:t>n</w:t>
      </w:r>
      <w:r w:rsidRPr="00590969">
        <w:t xml:space="preserve"> och timvärden, där effekter för belys</w:t>
      </w:r>
      <w:r>
        <w:t>ning och utrustning specificera</w:t>
      </w:r>
      <w:r w:rsidRPr="00590969">
        <w:t xml:space="preserve">s. Exempelvis </w:t>
      </w:r>
      <w:r>
        <w:t>kan värdet för</w:t>
      </w:r>
      <w:r w:rsidRPr="00590969">
        <w:t xml:space="preserve"> utrustning och belysning </w:t>
      </w:r>
      <w:r>
        <w:t>i</w:t>
      </w:r>
      <w:r w:rsidRPr="00590969">
        <w:t xml:space="preserve"> kWh/m</w:t>
      </w:r>
      <w:r w:rsidRPr="00590969">
        <w:rPr>
          <w:vertAlign w:val="superscript"/>
        </w:rPr>
        <w:t>2</w:t>
      </w:r>
      <w:r w:rsidRPr="00590969">
        <w:t xml:space="preserve">år i total verksamhetsenergi </w:t>
      </w:r>
      <w:r>
        <w:t xml:space="preserve">beräknats </w:t>
      </w:r>
      <w:r w:rsidRPr="00590969">
        <w:t>enligt:</w:t>
      </w:r>
    </w:p>
    <w:p w:rsidR="00FB7FDC" w:rsidRPr="00590969" w:rsidRDefault="00FB7FDC" w:rsidP="00FB7FDC">
      <w:pPr>
        <w:ind w:left="851" w:firstLine="0"/>
      </w:pPr>
      <w:r w:rsidRPr="00590969">
        <w:t xml:space="preserve">Effekt </w:t>
      </w:r>
      <w:proofErr w:type="spellStart"/>
      <w:r w:rsidRPr="00590969">
        <w:t>belysning+utrustning</w:t>
      </w:r>
      <w:proofErr w:type="spellEnd"/>
      <w:r w:rsidRPr="00590969">
        <w:t>: 5+5=10 W/m</w:t>
      </w:r>
      <w:r w:rsidRPr="00590969">
        <w:rPr>
          <w:vertAlign w:val="superscript"/>
        </w:rPr>
        <w:t>2</w:t>
      </w:r>
    </w:p>
    <w:p w:rsidR="00FB7FDC" w:rsidRPr="00590969" w:rsidRDefault="00FB7FDC" w:rsidP="00FB7FDC">
      <w:pPr>
        <w:ind w:left="851" w:firstLine="0"/>
      </w:pPr>
      <w:r w:rsidRPr="00590969">
        <w:t xml:space="preserve">Drifttid i timmar per år: 10*5*47=2350 h/år </w:t>
      </w:r>
    </w:p>
    <w:p w:rsidR="00FB7FDC" w:rsidRPr="00590969" w:rsidRDefault="00FB7FDC" w:rsidP="00FB7FDC">
      <w:pPr>
        <w:ind w:left="851" w:firstLine="0"/>
      </w:pPr>
      <w:r w:rsidRPr="00590969">
        <w:t>Verksamhetsenergi över året =10*2350/1000=23,5 kWh/m</w:t>
      </w:r>
      <w:r w:rsidRPr="00590969">
        <w:rPr>
          <w:vertAlign w:val="superscript"/>
        </w:rPr>
        <w:t>2</w:t>
      </w:r>
      <w:r w:rsidRPr="00590969">
        <w:t>år</w:t>
      </w:r>
      <w:r>
        <w:t>.</w:t>
      </w:r>
    </w:p>
    <w:p w:rsidR="008C6300" w:rsidRDefault="00FB7FDC" w:rsidP="00FB7FDC">
      <w:pPr>
        <w:ind w:firstLine="0"/>
      </w:pPr>
      <w:r>
        <w:t xml:space="preserve">Ytterligare vägledning till strategi för val av brukarindata </w:t>
      </w:r>
      <w:r w:rsidR="00A95DC2">
        <w:t xml:space="preserve">och indelning i verksamhetsareor </w:t>
      </w:r>
      <w:r>
        <w:t>kan fås i rapporten</w:t>
      </w:r>
      <w:r w:rsidR="00A95DC2">
        <w:t>:</w:t>
      </w:r>
      <w:r>
        <w:t xml:space="preserve"> Sveby Brukarindata undervisningsbyggnader, </w:t>
      </w:r>
      <w:r w:rsidR="00545240">
        <w:t xml:space="preserve">vilken </w:t>
      </w:r>
      <w:r w:rsidR="00A95DC2">
        <w:t xml:space="preserve">fritt </w:t>
      </w:r>
      <w:r w:rsidR="00545240">
        <w:t xml:space="preserve">kan </w:t>
      </w:r>
      <w:r w:rsidR="00A95DC2">
        <w:t xml:space="preserve">laddas ner från </w:t>
      </w:r>
      <w:r>
        <w:t>www.sveby.org.</w:t>
      </w:r>
    </w:p>
    <w:sectPr w:rsidR="008C6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09" w:rsidRDefault="00FB5A09" w:rsidP="00343F2D">
      <w:pPr>
        <w:spacing w:line="240" w:lineRule="auto"/>
      </w:pPr>
      <w:r>
        <w:separator/>
      </w:r>
    </w:p>
  </w:endnote>
  <w:endnote w:type="continuationSeparator" w:id="0">
    <w:p w:rsidR="00FB5A09" w:rsidRDefault="00FB5A09" w:rsidP="00343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9E" w:rsidRDefault="005F0A9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9E" w:rsidRDefault="005F0A9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9E" w:rsidRDefault="005F0A9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09" w:rsidRDefault="00FB5A09" w:rsidP="00343F2D">
      <w:pPr>
        <w:spacing w:line="240" w:lineRule="auto"/>
      </w:pPr>
      <w:r>
        <w:separator/>
      </w:r>
    </w:p>
  </w:footnote>
  <w:footnote w:type="continuationSeparator" w:id="0">
    <w:p w:rsidR="00FB5A09" w:rsidRDefault="00FB5A09" w:rsidP="00343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9E" w:rsidRDefault="005F0A9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2D" w:rsidRDefault="00343F2D" w:rsidP="00343F2D">
    <w:pPr>
      <w:pStyle w:val="Sidhuvud"/>
      <w:ind w:hanging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CA7E9" wp14:editId="528260CC">
          <wp:simplePos x="0" y="0"/>
          <wp:positionH relativeFrom="page">
            <wp:posOffset>5643245</wp:posOffset>
          </wp:positionH>
          <wp:positionV relativeFrom="page">
            <wp:posOffset>297815</wp:posOffset>
          </wp:positionV>
          <wp:extent cx="1619885" cy="581025"/>
          <wp:effectExtent l="0" t="0" r="0" b="9525"/>
          <wp:wrapNone/>
          <wp:docPr id="1" name="Bildobjekt 1" descr="Sveby_logo Bransch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by_logo Bransch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PL </w:t>
    </w:r>
    <w:r>
      <w:t>170</w:t>
    </w:r>
    <w:r w:rsidR="005F0A9E">
      <w:t>310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9E" w:rsidRDefault="005F0A9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2D"/>
    <w:rsid w:val="001101C6"/>
    <w:rsid w:val="00343F2D"/>
    <w:rsid w:val="004B71C6"/>
    <w:rsid w:val="00545240"/>
    <w:rsid w:val="005F0A9E"/>
    <w:rsid w:val="008C6300"/>
    <w:rsid w:val="00A95DC2"/>
    <w:rsid w:val="00B01866"/>
    <w:rsid w:val="00B01FBE"/>
    <w:rsid w:val="00FB5A09"/>
    <w:rsid w:val="00F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ödtext"/>
    <w:qFormat/>
    <w:rsid w:val="00343F2D"/>
    <w:pPr>
      <w:spacing w:after="0" w:line="240" w:lineRule="exact"/>
      <w:ind w:firstLine="284"/>
    </w:pPr>
    <w:rPr>
      <w:rFonts w:ascii="Franklin Gothic Book" w:eastAsia="Times New Roman" w:hAnsi="Franklin Gothic Book" w:cs="Times New Roman"/>
      <w:sz w:val="2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43F2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3F2D"/>
    <w:rPr>
      <w:rFonts w:ascii="Franklin Gothic Book" w:eastAsia="Times New Roman" w:hAnsi="Franklin Gothic Book" w:cs="Times New Roman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43F2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3F2D"/>
    <w:rPr>
      <w:rFonts w:ascii="Franklin Gothic Book" w:eastAsia="Times New Roman" w:hAnsi="Franklin Gothic Book" w:cs="Times New Roman"/>
      <w:sz w:val="20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ödtext"/>
    <w:qFormat/>
    <w:rsid w:val="00343F2D"/>
    <w:pPr>
      <w:spacing w:after="0" w:line="240" w:lineRule="exact"/>
      <w:ind w:firstLine="284"/>
    </w:pPr>
    <w:rPr>
      <w:rFonts w:ascii="Franklin Gothic Book" w:eastAsia="Times New Roman" w:hAnsi="Franklin Gothic Book" w:cs="Times New Roman"/>
      <w:sz w:val="2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43F2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3F2D"/>
    <w:rPr>
      <w:rFonts w:ascii="Franklin Gothic Book" w:eastAsia="Times New Roman" w:hAnsi="Franklin Gothic Book" w:cs="Times New Roman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43F2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3F2D"/>
    <w:rPr>
      <w:rFonts w:ascii="Franklin Gothic Book" w:eastAsia="Times New Roman" w:hAnsi="Franklin Gothic Book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Projektengagemang AB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peralevi</dc:creator>
  <cp:lastModifiedBy>peralevi</cp:lastModifiedBy>
  <cp:revision>2</cp:revision>
  <dcterms:created xsi:type="dcterms:W3CDTF">2017-03-10T15:34:00Z</dcterms:created>
  <dcterms:modified xsi:type="dcterms:W3CDTF">2017-03-10T15:34:00Z</dcterms:modified>
</cp:coreProperties>
</file>